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8552FC" w14:paraId="48FC686E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48FC6869" w14:textId="77777777" w:rsidR="00041727" w:rsidRPr="008552FC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8552FC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48FC686A" w14:textId="77777777" w:rsidR="00041727" w:rsidRPr="008552FC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8552FC">
              <w:rPr>
                <w:noProof/>
                <w:color w:val="365F91" w:themeColor="accent1" w:themeShade="BF"/>
                <w:szCs w:val="22"/>
                <w:lang w:val="es-ES" w:eastAsia="es-ES"/>
              </w:rPr>
              <w:drawing>
                <wp:anchor distT="0" distB="0" distL="114300" distR="114300" simplePos="0" relativeHeight="251658240" behindDoc="1" locked="1" layoutInCell="1" allowOverlap="1" wp14:anchorId="48FC68BF" wp14:editId="48FC68C0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7225" w:rsidRPr="008552FC">
              <w:rPr>
                <w:rStyle w:val="StyleComplex11ptBoldAccent1"/>
                <w:lang w:val="es-ES"/>
              </w:rPr>
              <w:t>Organización Meteorológica Mundial</w:t>
            </w:r>
          </w:p>
          <w:p w14:paraId="48FC686B" w14:textId="77777777" w:rsidR="00041727" w:rsidRPr="008552FC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8552FC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48FC686C" w14:textId="77777777" w:rsidR="00041727" w:rsidRPr="008552FC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8552F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8552FC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48FC686D" w14:textId="77777777" w:rsidR="00041727" w:rsidRPr="008552FC" w:rsidRDefault="0024027B" w:rsidP="00CE448E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CE448E"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10</w:t>
            </w:r>
          </w:p>
        </w:tc>
      </w:tr>
      <w:tr w:rsidR="00041727" w:rsidRPr="008552FC" w14:paraId="48FC6874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8FC686F" w14:textId="77777777" w:rsidR="00041727" w:rsidRPr="008552FC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48FC6870" w14:textId="77777777" w:rsidR="00041727" w:rsidRPr="008552FC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48FC6871" w14:textId="77777777" w:rsidR="00041727" w:rsidRPr="008552FC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8552FC">
              <w:rPr>
                <w:lang w:val="es-ES"/>
              </w:rPr>
              <w:t>Presentado por</w:t>
            </w:r>
            <w:r w:rsidR="00041727" w:rsidRPr="008552FC">
              <w:rPr>
                <w:lang w:val="es-ES"/>
              </w:rPr>
              <w:t>:</w:t>
            </w:r>
            <w:r w:rsidR="00041727" w:rsidRPr="008552FC">
              <w:rPr>
                <w:lang w:val="es-ES"/>
              </w:rPr>
              <w:br/>
            </w:r>
            <w:r w:rsidR="00CE448E" w:rsidRPr="008552FC">
              <w:rPr>
                <w:bCs/>
                <w:color w:val="365F91"/>
                <w:lang w:val="es-ES"/>
              </w:rPr>
              <w:t>Secretario General</w:t>
            </w:r>
            <w:r w:rsidR="00CE448E" w:rsidRPr="008552FC">
              <w:rPr>
                <w:lang w:val="es-ES"/>
              </w:rPr>
              <w:t xml:space="preserve"> </w:t>
            </w:r>
          </w:p>
          <w:p w14:paraId="48FC6872" w14:textId="77777777" w:rsidR="00041727" w:rsidRPr="008552FC" w:rsidRDefault="00CE448E" w:rsidP="00527225">
            <w:pPr>
              <w:pStyle w:val="StyleComplexTahomaComplex11ptAccent1RightAfter-"/>
              <w:rPr>
                <w:lang w:val="es-ES"/>
              </w:rPr>
            </w:pPr>
            <w:r w:rsidRPr="008552FC">
              <w:rPr>
                <w:bCs/>
                <w:color w:val="365F91"/>
                <w:lang w:val="es-ES"/>
              </w:rPr>
              <w:t>31</w:t>
            </w:r>
            <w:r w:rsidR="00527225" w:rsidRPr="008552FC">
              <w:rPr>
                <w:lang w:val="es-ES"/>
              </w:rPr>
              <w:t>.</w:t>
            </w:r>
            <w:r w:rsidRPr="008552FC">
              <w:rPr>
                <w:lang w:val="es-ES"/>
              </w:rPr>
              <w:t>I</w:t>
            </w:r>
            <w:r w:rsidR="00A41E35" w:rsidRPr="008552FC">
              <w:rPr>
                <w:lang w:val="es-ES"/>
              </w:rPr>
              <w:t>.202</w:t>
            </w:r>
            <w:r w:rsidRPr="008552FC">
              <w:rPr>
                <w:lang w:val="es-ES"/>
              </w:rPr>
              <w:t>3</w:t>
            </w:r>
          </w:p>
          <w:p w14:paraId="48FC6873" w14:textId="77777777" w:rsidR="00041727" w:rsidRPr="008552FC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8552FC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48FC6875" w14:textId="77777777" w:rsidR="00C4470F" w:rsidRPr="008552FC" w:rsidRDefault="001527A3" w:rsidP="00514EAC">
      <w:pPr>
        <w:pStyle w:val="WMOBodyText"/>
        <w:ind w:left="3969" w:hanging="3969"/>
        <w:rPr>
          <w:b/>
          <w:lang w:val="es-ES"/>
        </w:rPr>
      </w:pPr>
      <w:r w:rsidRPr="008552FC">
        <w:rPr>
          <w:b/>
          <w:lang w:val="es-ES"/>
        </w:rPr>
        <w:t xml:space="preserve">PUNTO </w:t>
      </w:r>
      <w:r w:rsidR="00CE448E" w:rsidRPr="008552FC">
        <w:rPr>
          <w:b/>
          <w:lang w:val="es-ES"/>
        </w:rPr>
        <w:t>10</w:t>
      </w:r>
      <w:r w:rsidRPr="008552FC">
        <w:rPr>
          <w:b/>
          <w:lang w:val="es-ES"/>
        </w:rPr>
        <w:t xml:space="preserve"> DEL ORDEN DEL DÍA:</w:t>
      </w:r>
      <w:r w:rsidR="00A41E35" w:rsidRPr="008552FC">
        <w:rPr>
          <w:b/>
          <w:lang w:val="es-ES"/>
        </w:rPr>
        <w:tab/>
      </w:r>
      <w:r w:rsidR="00CE448E" w:rsidRPr="008552FC">
        <w:rPr>
          <w:b/>
          <w:bCs/>
          <w:lang w:val="es-ES"/>
        </w:rPr>
        <w:t xml:space="preserve">FECHA Y LUGAR DE LAS PRÓXIMAS REUNIONES DEL CONSEJO EJECUTIVO Y PROGRAMA </w:t>
      </w:r>
      <w:r w:rsidR="00CE448E" w:rsidRPr="008552FC">
        <w:rPr>
          <w:b/>
          <w:bCs/>
          <w:lang w:val="es-ES"/>
        </w:rPr>
        <w:br/>
        <w:t>DE LAS REUNIONES DE LOS ÓRGANOS INTEGRANTES</w:t>
      </w:r>
    </w:p>
    <w:p w14:paraId="48FC6876" w14:textId="77777777" w:rsidR="00814CC6" w:rsidRPr="008552FC" w:rsidRDefault="00CE448E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8552FC">
        <w:rPr>
          <w:lang w:val="es-ES"/>
        </w:rPr>
        <w:t xml:space="preserve">FECHA Y LUGAR DE LAS PRÓXIMAS REUNIONES </w:t>
      </w:r>
      <w:r w:rsidRPr="008552FC">
        <w:rPr>
          <w:lang w:val="es-ES"/>
        </w:rPr>
        <w:br/>
        <w:t xml:space="preserve">DEL CONSEJO EJECUTIVO Y PROGRAMA DE LAS REUNIONES </w:t>
      </w:r>
      <w:r w:rsidRPr="008552FC">
        <w:rPr>
          <w:lang w:val="es-ES"/>
        </w:rPr>
        <w:br/>
        <w:t>DE LOS ÓRGANOS INTEGRANTES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1B5662" w14:paraId="48FC687E" w14:textId="77777777" w:rsidTr="001B5662">
        <w:trPr>
          <w:jc w:val="center"/>
        </w:trPr>
        <w:tc>
          <w:tcPr>
            <w:tcW w:w="9526" w:type="dxa"/>
          </w:tcPr>
          <w:p w14:paraId="48FC6877" w14:textId="77777777" w:rsidR="00EC7CF5" w:rsidRPr="008552FC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8552FC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48FC6878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Documento presentado por:</w:t>
            </w:r>
            <w:r w:rsidR="00CE448E" w:rsidRPr="008552FC">
              <w:rPr>
                <w:lang w:val="es-ES"/>
              </w:rPr>
              <w:t xml:space="preserve"> el Secretario General.</w:t>
            </w:r>
          </w:p>
          <w:p w14:paraId="48FC6879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8552FC">
              <w:rPr>
                <w:b/>
                <w:bCs/>
                <w:lang w:val="es-ES"/>
              </w:rPr>
              <w:t xml:space="preserve">Objetivo estratégico para 2020-2023: </w:t>
            </w:r>
            <w:r w:rsidR="00CE448E" w:rsidRPr="008552FC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48FC687A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Consecuencias financieras y administrativas:</w:t>
            </w:r>
            <w:r w:rsidR="00CE448E" w:rsidRPr="008552FC">
              <w:rPr>
                <w:lang w:val="es-ES"/>
              </w:rPr>
              <w:t xml:space="preserve"> dentro de los parámetros del Plan Estratégico y del Plan de Funcionamiento para 2020-2023.</w:t>
            </w:r>
          </w:p>
          <w:p w14:paraId="48FC687B" w14:textId="77777777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Principales encargados de la ejecución:</w:t>
            </w:r>
            <w:r w:rsidR="00CE448E" w:rsidRPr="008552FC">
              <w:rPr>
                <w:lang w:val="es-ES"/>
              </w:rPr>
              <w:t xml:space="preserve"> el Consejo Ejecutivo.</w:t>
            </w:r>
          </w:p>
          <w:p w14:paraId="48FC687C" w14:textId="05AC4076" w:rsidR="00581CFE" w:rsidRPr="008552FC" w:rsidRDefault="00581CFE" w:rsidP="00CE448E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8552FC">
              <w:rPr>
                <w:b/>
                <w:bCs/>
                <w:lang w:val="es-ES"/>
              </w:rPr>
              <w:t>Cronograma:</w:t>
            </w:r>
            <w:r w:rsidR="00CE448E" w:rsidRPr="008552FC">
              <w:rPr>
                <w:lang w:val="es-ES"/>
              </w:rPr>
              <w:t xml:space="preserve"> 2023/2024</w:t>
            </w:r>
            <w:r w:rsidR="000571D0" w:rsidRPr="008552FC">
              <w:rPr>
                <w:lang w:val="es-ES"/>
              </w:rPr>
              <w:t>.</w:t>
            </w:r>
          </w:p>
          <w:p w14:paraId="48FC687D" w14:textId="77777777" w:rsidR="00581CFE" w:rsidRPr="008552FC" w:rsidRDefault="00581CFE" w:rsidP="001B5662">
            <w:pPr>
              <w:pStyle w:val="WMOBodyText"/>
              <w:spacing w:before="160" w:after="24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8552FC">
              <w:rPr>
                <w:b/>
                <w:bCs/>
                <w:lang w:val="es-ES"/>
              </w:rPr>
              <w:t>Medida prevista:</w:t>
            </w:r>
            <w:r w:rsidR="00CE448E" w:rsidRPr="008552FC">
              <w:rPr>
                <w:lang w:val="es-ES"/>
              </w:rPr>
              <w:t xml:space="preserve"> adoptar el proyecto de Decisión 10/1 (EC-76</w:t>
            </w:r>
            <w:bookmarkStart w:id="1" w:name="_GoBack"/>
            <w:bookmarkEnd w:id="1"/>
            <w:r w:rsidR="00CE448E" w:rsidRPr="008552FC">
              <w:rPr>
                <w:lang w:val="es-ES"/>
              </w:rPr>
              <w:t>).</w:t>
            </w:r>
          </w:p>
        </w:tc>
      </w:tr>
    </w:tbl>
    <w:p w14:paraId="48FC6881" w14:textId="77777777" w:rsidR="00B01B02" w:rsidRPr="008552FC" w:rsidRDefault="00B01B02" w:rsidP="00EC7CF5">
      <w:pPr>
        <w:pStyle w:val="WMOBodyText"/>
        <w:spacing w:before="0"/>
        <w:rPr>
          <w:lang w:val="es-ES"/>
        </w:rPr>
      </w:pPr>
    </w:p>
    <w:p w14:paraId="48FC6882" w14:textId="77777777" w:rsidR="00B01B02" w:rsidRPr="008552FC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8552FC">
        <w:rPr>
          <w:lang w:val="es-ES"/>
        </w:rPr>
        <w:br w:type="page"/>
      </w:r>
    </w:p>
    <w:p w14:paraId="48FC6883" w14:textId="77777777" w:rsidR="00581CFE" w:rsidRPr="008552FC" w:rsidRDefault="00581CFE" w:rsidP="00581CFE">
      <w:pPr>
        <w:pStyle w:val="Heading1"/>
        <w:rPr>
          <w:lang w:val="es-ES"/>
        </w:rPr>
      </w:pPr>
      <w:r w:rsidRPr="008552FC">
        <w:rPr>
          <w:lang w:val="es-ES"/>
        </w:rPr>
        <w:lastRenderedPageBreak/>
        <w:t>PROYECTO DE DECISIÓN</w:t>
      </w:r>
    </w:p>
    <w:p w14:paraId="48FC6884" w14:textId="77777777" w:rsidR="00581CFE" w:rsidRPr="008552FC" w:rsidRDefault="00581CFE" w:rsidP="00581CFE">
      <w:pPr>
        <w:pStyle w:val="Heading2"/>
        <w:rPr>
          <w:lang w:val="es-ES"/>
        </w:rPr>
      </w:pPr>
      <w:r w:rsidRPr="008552FC">
        <w:rPr>
          <w:lang w:val="es-ES"/>
        </w:rPr>
        <w:t xml:space="preserve">Proyecto de Decisión </w:t>
      </w:r>
      <w:r w:rsidR="00CE448E" w:rsidRPr="008552FC">
        <w:rPr>
          <w:lang w:val="es-ES"/>
        </w:rPr>
        <w:t>10</w:t>
      </w:r>
      <w:r w:rsidRPr="008552FC">
        <w:rPr>
          <w:lang w:val="es-ES"/>
        </w:rPr>
        <w:t>/1 (EC-76)</w:t>
      </w:r>
    </w:p>
    <w:p w14:paraId="48FC6885" w14:textId="3F35F431" w:rsidR="00581CFE" w:rsidRPr="008552FC" w:rsidRDefault="003A418D" w:rsidP="00581CFE">
      <w:pPr>
        <w:pStyle w:val="Heading3"/>
        <w:rPr>
          <w:sz w:val="22"/>
          <w:szCs w:val="22"/>
          <w:lang w:val="es-ES"/>
        </w:rPr>
      </w:pPr>
      <w:r w:rsidRPr="008552FC">
        <w:rPr>
          <w:sz w:val="22"/>
          <w:szCs w:val="22"/>
          <w:lang w:val="es-ES"/>
        </w:rPr>
        <w:t xml:space="preserve">Fecha y lugar de las próximas reuniones del Consejo Ejecutivo y programa </w:t>
      </w:r>
      <w:r w:rsidR="00436209" w:rsidRPr="008552FC">
        <w:rPr>
          <w:sz w:val="22"/>
          <w:szCs w:val="22"/>
          <w:lang w:val="es-ES"/>
        </w:rPr>
        <w:br/>
      </w:r>
      <w:r w:rsidRPr="008552FC">
        <w:rPr>
          <w:sz w:val="22"/>
          <w:szCs w:val="22"/>
          <w:lang w:val="es-ES"/>
        </w:rPr>
        <w:t>de las reuniones de los órganos integrantes</w:t>
      </w:r>
    </w:p>
    <w:p w14:paraId="48FC6886" w14:textId="77777777" w:rsidR="00581CFE" w:rsidRPr="008552FC" w:rsidRDefault="00581CFE" w:rsidP="00581CFE">
      <w:pPr>
        <w:pStyle w:val="StyleWMOBodyTextBold"/>
        <w:rPr>
          <w:lang w:val="es-ES"/>
        </w:rPr>
      </w:pPr>
      <w:r w:rsidRPr="008552FC">
        <w:rPr>
          <w:lang w:val="es-ES"/>
        </w:rPr>
        <w:t>El Consejo Ejecutivo decide</w:t>
      </w:r>
      <w:r w:rsidR="003A418D" w:rsidRPr="008552FC">
        <w:rPr>
          <w:lang w:val="es-ES"/>
        </w:rPr>
        <w:t>:</w:t>
      </w:r>
    </w:p>
    <w:p w14:paraId="48FC6887" w14:textId="587A7A88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1)</w:t>
      </w:r>
      <w:r w:rsidRPr="008552FC">
        <w:rPr>
          <w:lang w:val="es-ES"/>
        </w:rPr>
        <w:tab/>
        <w:t xml:space="preserve">confirmar que </w:t>
      </w:r>
      <w:r w:rsidR="00AD2DE4" w:rsidRPr="008552FC">
        <w:rPr>
          <w:lang w:val="es-ES"/>
        </w:rPr>
        <w:t xml:space="preserve">su </w:t>
      </w:r>
      <w:r w:rsidRPr="008552FC">
        <w:rPr>
          <w:lang w:val="es-ES"/>
        </w:rPr>
        <w:t>77ª reunión se celebrará los días 5 y 6 de junio de 2023 en la sede de la Organización Meteorológica Mundial (OMM) en Ginebra, después del Decimonoveno Congreso Meteorológico Mundial, que tendrá lugar del 22 de mayo al 2 de junio de 2023 en el Centro Internacional de Conferencias de Ginebra (CICG)</w:t>
      </w:r>
      <w:r w:rsidR="0091175E" w:rsidRPr="008552FC">
        <w:rPr>
          <w:lang w:val="es-ES"/>
        </w:rPr>
        <w:t xml:space="preserve"> y estará precedido por </w:t>
      </w:r>
      <w:r w:rsidRPr="008552FC">
        <w:rPr>
          <w:lang w:val="es-ES"/>
        </w:rPr>
        <w:t>la 43ª reunión del Comité Consultivo de Finanzas (FINAC), prevista para los días 19 y 20 de mayo de 2023;</w:t>
      </w:r>
    </w:p>
    <w:p w14:paraId="48FC6888" w14:textId="2638C0B1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2)</w:t>
      </w:r>
      <w:r w:rsidRPr="008552FC">
        <w:rPr>
          <w:lang w:val="es-ES"/>
        </w:rPr>
        <w:tab/>
        <w:t xml:space="preserve">notar la lista preliminar de puntos del orden del día de </w:t>
      </w:r>
      <w:r w:rsidR="000B0A5F" w:rsidRPr="008552FC">
        <w:rPr>
          <w:lang w:val="es-ES"/>
        </w:rPr>
        <w:t xml:space="preserve">su </w:t>
      </w:r>
      <w:r w:rsidRPr="008552FC">
        <w:rPr>
          <w:lang w:val="es-ES"/>
        </w:rPr>
        <w:t xml:space="preserve">77ª reunión, que figura en el </w:t>
      </w:r>
      <w:hyperlink w:anchor="AnexoDecisión" w:history="1">
        <w:r w:rsidRPr="008552FC">
          <w:rPr>
            <w:rStyle w:val="Hyperlink"/>
            <w:lang w:val="es-ES"/>
          </w:rPr>
          <w:t>ane</w:t>
        </w:r>
        <w:r w:rsidRPr="008552FC">
          <w:rPr>
            <w:rStyle w:val="Hyperlink"/>
            <w:lang w:val="es-ES"/>
          </w:rPr>
          <w:t>x</w:t>
        </w:r>
        <w:r w:rsidRPr="008552FC">
          <w:rPr>
            <w:rStyle w:val="Hyperlink"/>
            <w:lang w:val="es-ES"/>
          </w:rPr>
          <w:t>o</w:t>
        </w:r>
      </w:hyperlink>
      <w:r w:rsidRPr="008552FC">
        <w:rPr>
          <w:lang w:val="es-ES"/>
        </w:rPr>
        <w:t xml:space="preserve"> a la presente decisión y podrá modificarse </w:t>
      </w:r>
      <w:r w:rsidR="007D2C5C" w:rsidRPr="008552FC">
        <w:rPr>
          <w:lang w:val="es-ES"/>
        </w:rPr>
        <w:t>s</w:t>
      </w:r>
      <w:r w:rsidRPr="008552FC">
        <w:rPr>
          <w:lang w:val="es-ES"/>
        </w:rPr>
        <w:t>e</w:t>
      </w:r>
      <w:r w:rsidR="007D2C5C" w:rsidRPr="008552FC">
        <w:rPr>
          <w:lang w:val="es-ES"/>
        </w:rPr>
        <w:t>gú</w:t>
      </w:r>
      <w:r w:rsidRPr="008552FC">
        <w:rPr>
          <w:lang w:val="es-ES"/>
        </w:rPr>
        <w:t>n las recomendaciones formuladas en las reuniones de los órganos de la OMM, en particular el Decimonoveno Congreso Meteorológico Mundial;</w:t>
      </w:r>
    </w:p>
    <w:p w14:paraId="48FC6889" w14:textId="003D4EB7" w:rsidR="003A418D" w:rsidRPr="008552FC" w:rsidRDefault="003A418D" w:rsidP="003A418D">
      <w:pPr>
        <w:pStyle w:val="WMOBodyText"/>
        <w:ind w:left="567" w:hanging="567"/>
        <w:rPr>
          <w:lang w:val="es-ES"/>
        </w:rPr>
      </w:pPr>
      <w:r w:rsidRPr="008552FC">
        <w:rPr>
          <w:lang w:val="es-ES"/>
        </w:rPr>
        <w:t>3)</w:t>
      </w:r>
      <w:r w:rsidRPr="008552FC">
        <w:rPr>
          <w:lang w:val="es-ES"/>
        </w:rPr>
        <w:tab/>
        <w:t xml:space="preserve">programar, de forma provisional, la celebración de </w:t>
      </w:r>
      <w:r w:rsidR="009C309B" w:rsidRPr="008552FC">
        <w:rPr>
          <w:lang w:val="es-ES"/>
        </w:rPr>
        <w:t>su</w:t>
      </w:r>
      <w:r w:rsidRPr="008552FC">
        <w:rPr>
          <w:lang w:val="es-ES"/>
        </w:rPr>
        <w:t xml:space="preserve"> 78ª reunión del 24 al 28 de junio de 2024 en la sede de la OMM en Ginebra, </w:t>
      </w:r>
      <w:r w:rsidR="000B2190" w:rsidRPr="008552FC">
        <w:rPr>
          <w:lang w:val="es-ES"/>
        </w:rPr>
        <w:t xml:space="preserve">reunión </w:t>
      </w:r>
      <w:r w:rsidRPr="008552FC">
        <w:rPr>
          <w:lang w:val="es-ES"/>
        </w:rPr>
        <w:t>que estará precedida por la 44ª</w:t>
      </w:r>
      <w:r w:rsidR="000B2190" w:rsidRPr="008552FC">
        <w:rPr>
          <w:lang w:val="es-ES"/>
        </w:rPr>
        <w:t> </w:t>
      </w:r>
      <w:r w:rsidRPr="008552FC">
        <w:rPr>
          <w:lang w:val="es-ES"/>
        </w:rPr>
        <w:t>reunión del FINAC, prevista para los días 20 y 21 de junio</w:t>
      </w:r>
      <w:r w:rsidR="00C71A65" w:rsidRPr="008552FC">
        <w:rPr>
          <w:lang w:val="es-ES"/>
        </w:rPr>
        <w:t xml:space="preserve"> de 2024</w:t>
      </w:r>
      <w:r w:rsidRPr="008552FC">
        <w:rPr>
          <w:lang w:val="es-ES"/>
        </w:rPr>
        <w:t>;</w:t>
      </w:r>
    </w:p>
    <w:p w14:paraId="48FC688A" w14:textId="47C30267" w:rsidR="003A418D" w:rsidRPr="008552FC" w:rsidRDefault="003A418D" w:rsidP="003A418D">
      <w:pPr>
        <w:pStyle w:val="WMOBodyText"/>
        <w:tabs>
          <w:tab w:val="left" w:pos="567"/>
        </w:tabs>
        <w:ind w:left="567" w:hanging="567"/>
        <w:rPr>
          <w:lang w:val="es-ES"/>
        </w:rPr>
      </w:pPr>
      <w:r w:rsidRPr="008552FC">
        <w:rPr>
          <w:lang w:val="es-ES"/>
        </w:rPr>
        <w:t>4)</w:t>
      </w:r>
      <w:r w:rsidRPr="008552FC">
        <w:rPr>
          <w:lang w:val="es-ES"/>
        </w:rPr>
        <w:tab/>
        <w:t xml:space="preserve">solicitar al Secretario General que presente a </w:t>
      </w:r>
      <w:r w:rsidR="000B2190" w:rsidRPr="008552FC">
        <w:rPr>
          <w:lang w:val="es-ES"/>
        </w:rPr>
        <w:t>su</w:t>
      </w:r>
      <w:r w:rsidRPr="008552FC">
        <w:rPr>
          <w:lang w:val="es-ES"/>
        </w:rPr>
        <w:t xml:space="preserve"> 77ª reunión un programa provisional de las reuniones de los órganos integrantes, los órganos adicionales establecidos por el Congreso y los órganos subsidiarios del Consejo </w:t>
      </w:r>
      <w:r w:rsidR="00F65D88" w:rsidRPr="008552FC">
        <w:rPr>
          <w:lang w:val="es-ES"/>
        </w:rPr>
        <w:t xml:space="preserve">Ejecutivo </w:t>
      </w:r>
      <w:r w:rsidRPr="008552FC">
        <w:rPr>
          <w:lang w:val="es-ES"/>
        </w:rPr>
        <w:t>para el período 2023/2024, a</w:t>
      </w:r>
      <w:r w:rsidR="00657D72" w:rsidRPr="008552FC">
        <w:rPr>
          <w:lang w:val="es-ES"/>
        </w:rPr>
        <w:t xml:space="preserve"> fin de</w:t>
      </w:r>
      <w:r w:rsidRPr="008552FC">
        <w:rPr>
          <w:lang w:val="es-ES"/>
        </w:rPr>
        <w:t xml:space="preserve"> ayudar a los delegados a planificar su asistencia a </w:t>
      </w:r>
      <w:r w:rsidR="00995CA5" w:rsidRPr="008552FC">
        <w:rPr>
          <w:lang w:val="es-ES"/>
        </w:rPr>
        <w:t>esos eventos</w:t>
      </w:r>
      <w:r w:rsidRPr="008552FC">
        <w:rPr>
          <w:lang w:val="es-ES"/>
        </w:rPr>
        <w:t xml:space="preserve">, teniendo en cuenta los criterios </w:t>
      </w:r>
      <w:r w:rsidR="006F12B5" w:rsidRPr="008552FC">
        <w:rPr>
          <w:lang w:val="es-ES"/>
        </w:rPr>
        <w:t xml:space="preserve">establecidos </w:t>
      </w:r>
      <w:r w:rsidRPr="008552FC">
        <w:rPr>
          <w:lang w:val="es-ES"/>
        </w:rPr>
        <w:t xml:space="preserve">para las reuniones presenciales y en línea que figuran en el documento </w:t>
      </w:r>
      <w:hyperlink r:id="rId12" w:history="1">
        <w:r w:rsidRPr="008552FC">
          <w:rPr>
            <w:rStyle w:val="Hyperlink"/>
            <w:lang w:val="es-ES"/>
          </w:rPr>
          <w:t>EC-7</w:t>
        </w:r>
        <w:r w:rsidRPr="008552FC">
          <w:rPr>
            <w:rStyle w:val="Hyperlink"/>
            <w:lang w:val="es-ES"/>
          </w:rPr>
          <w:t>6</w:t>
        </w:r>
        <w:r w:rsidRPr="008552FC">
          <w:rPr>
            <w:rStyle w:val="Hyperlink"/>
            <w:lang w:val="es-ES"/>
          </w:rPr>
          <w:t>/Doc. 6(1)</w:t>
        </w:r>
      </w:hyperlink>
      <w:r w:rsidRPr="008552FC">
        <w:rPr>
          <w:lang w:val="es-ES"/>
        </w:rPr>
        <w:t>.</w:t>
      </w:r>
    </w:p>
    <w:p w14:paraId="48FC688B" w14:textId="77777777" w:rsidR="00581CFE" w:rsidRPr="008552FC" w:rsidRDefault="00581CFE" w:rsidP="003A418D">
      <w:pPr>
        <w:pStyle w:val="WMOBodyText"/>
        <w:rPr>
          <w:lang w:val="es-ES"/>
        </w:rPr>
      </w:pPr>
      <w:r w:rsidRPr="008552FC">
        <w:rPr>
          <w:lang w:val="es-ES"/>
        </w:rPr>
        <w:t xml:space="preserve">Véase el </w:t>
      </w:r>
      <w:hyperlink w:anchor="AnexoDecisión" w:history="1">
        <w:r w:rsidRPr="008552FC">
          <w:rPr>
            <w:rStyle w:val="Hyperlink"/>
            <w:lang w:val="es-ES"/>
          </w:rPr>
          <w:t>an</w:t>
        </w:r>
        <w:r w:rsidRPr="008552FC">
          <w:rPr>
            <w:rStyle w:val="Hyperlink"/>
            <w:lang w:val="es-ES"/>
          </w:rPr>
          <w:t>e</w:t>
        </w:r>
        <w:r w:rsidRPr="008552FC">
          <w:rPr>
            <w:rStyle w:val="Hyperlink"/>
            <w:lang w:val="es-ES"/>
          </w:rPr>
          <w:t xml:space="preserve">xo </w:t>
        </w:r>
      </w:hyperlink>
      <w:r w:rsidRPr="008552FC">
        <w:rPr>
          <w:lang w:val="es-ES"/>
        </w:rPr>
        <w:t>a la presente decisión.</w:t>
      </w:r>
    </w:p>
    <w:p w14:paraId="48FC688C" w14:textId="77777777" w:rsidR="00581CFE" w:rsidRPr="008552FC" w:rsidRDefault="00581CFE" w:rsidP="00581CFE">
      <w:pPr>
        <w:pStyle w:val="WMOBodyText"/>
        <w:rPr>
          <w:lang w:val="es-ES"/>
        </w:rPr>
      </w:pPr>
      <w:r w:rsidRPr="008552FC">
        <w:rPr>
          <w:lang w:val="es-ES"/>
        </w:rPr>
        <w:t>_______</w:t>
      </w:r>
    </w:p>
    <w:p w14:paraId="48FC688D" w14:textId="77777777" w:rsidR="00581CFE" w:rsidRPr="008552FC" w:rsidRDefault="00581CFE" w:rsidP="00581CFE">
      <w:pPr>
        <w:pStyle w:val="WMOBodyText"/>
        <w:tabs>
          <w:tab w:val="left" w:pos="2977"/>
        </w:tabs>
        <w:spacing w:before="120"/>
        <w:rPr>
          <w:lang w:val="es-ES"/>
        </w:rPr>
      </w:pPr>
      <w:r w:rsidRPr="008552FC">
        <w:rPr>
          <w:lang w:val="es-ES"/>
        </w:rPr>
        <w:t>Justificación de la decisión:</w:t>
      </w:r>
    </w:p>
    <w:p w14:paraId="48FC688E" w14:textId="07895443" w:rsidR="00581CFE" w:rsidRPr="008552FC" w:rsidRDefault="001E75E9" w:rsidP="00581CFE">
      <w:pPr>
        <w:pStyle w:val="WMOBodyText"/>
        <w:tabs>
          <w:tab w:val="left" w:pos="2977"/>
        </w:tabs>
        <w:rPr>
          <w:lang w:val="es-ES"/>
        </w:rPr>
      </w:pPr>
      <w:hyperlink r:id="rId13" w:anchor="page=21" w:history="1">
        <w:r w:rsidR="003A418D" w:rsidRPr="008552FC">
          <w:rPr>
            <w:rStyle w:val="Hyperlink"/>
            <w:lang w:val="es-ES"/>
          </w:rPr>
          <w:t xml:space="preserve">Artículo </w:t>
        </w:r>
        <w:r w:rsidR="003A418D" w:rsidRPr="008552FC">
          <w:rPr>
            <w:rStyle w:val="Hyperlink"/>
            <w:lang w:val="es-ES"/>
          </w:rPr>
          <w:t>1</w:t>
        </w:r>
        <w:r w:rsidR="003A418D" w:rsidRPr="008552FC">
          <w:rPr>
            <w:rStyle w:val="Hyperlink"/>
            <w:lang w:val="es-ES"/>
          </w:rPr>
          <w:t>4 f)</w:t>
        </w:r>
      </w:hyperlink>
      <w:r w:rsidR="003A418D" w:rsidRPr="008552FC">
        <w:rPr>
          <w:lang w:val="es-ES"/>
        </w:rPr>
        <w:t xml:space="preserve"> (orden del día del Congreso Meteorológico Mundial) y </w:t>
      </w:r>
      <w:hyperlink r:id="rId14" w:anchor="page=22" w:history="1">
        <w:r w:rsidR="00D75F71" w:rsidRPr="008552FC">
          <w:rPr>
            <w:rStyle w:val="Hyperlink"/>
            <w:lang w:val="es-ES"/>
          </w:rPr>
          <w:t>artículo</w:t>
        </w:r>
        <w:r w:rsidR="00D75F71" w:rsidRPr="008552FC">
          <w:rPr>
            <w:rStyle w:val="Hyperlink"/>
            <w:lang w:val="es-ES"/>
          </w:rPr>
          <w:t xml:space="preserve"> </w:t>
        </w:r>
        <w:r w:rsidR="003A418D" w:rsidRPr="008552FC">
          <w:rPr>
            <w:rStyle w:val="Hyperlink"/>
            <w:lang w:val="es-ES"/>
          </w:rPr>
          <w:t>15 a)</w:t>
        </w:r>
      </w:hyperlink>
      <w:r w:rsidR="003A418D" w:rsidRPr="008552FC">
        <w:rPr>
          <w:lang w:val="es-ES"/>
        </w:rPr>
        <w:t xml:space="preserve"> (reuniones del Consejo Ejecutivo) del Convenio de la OMM y </w:t>
      </w:r>
      <w:hyperlink r:id="rId15" w:anchor="page=80" w:history="1">
        <w:r w:rsidR="003A418D" w:rsidRPr="008552FC">
          <w:rPr>
            <w:rStyle w:val="Hyperlink"/>
            <w:lang w:val="es-ES"/>
          </w:rPr>
          <w:t>reg</w:t>
        </w:r>
        <w:r w:rsidR="003A418D" w:rsidRPr="008552FC">
          <w:rPr>
            <w:rStyle w:val="Hyperlink"/>
            <w:lang w:val="es-ES"/>
          </w:rPr>
          <w:t>l</w:t>
        </w:r>
        <w:r w:rsidR="003A418D" w:rsidRPr="008552FC">
          <w:rPr>
            <w:rStyle w:val="Hyperlink"/>
            <w:lang w:val="es-ES"/>
          </w:rPr>
          <w:t>a 138</w:t>
        </w:r>
      </w:hyperlink>
      <w:r w:rsidR="003A418D" w:rsidRPr="008552FC">
        <w:rPr>
          <w:lang w:val="es-ES"/>
        </w:rPr>
        <w:t xml:space="preserve"> del Reglamento General (</w:t>
      </w:r>
      <w:r w:rsidR="003A418D" w:rsidRPr="008552FC">
        <w:rPr>
          <w:i/>
          <w:iCs/>
          <w:lang w:val="es-ES"/>
        </w:rPr>
        <w:t xml:space="preserve">Documentos fundamentales Nº 1 </w:t>
      </w:r>
      <w:r w:rsidR="003A418D" w:rsidRPr="008552FC">
        <w:rPr>
          <w:lang w:val="es-ES"/>
        </w:rPr>
        <w:t>(OMM-Nº 15)).</w:t>
      </w:r>
    </w:p>
    <w:p w14:paraId="48FC688F" w14:textId="77777777" w:rsidR="003A418D" w:rsidRPr="008552FC" w:rsidRDefault="003A418D">
      <w:pPr>
        <w:tabs>
          <w:tab w:val="clear" w:pos="1134"/>
        </w:tabs>
        <w:jc w:val="left"/>
        <w:rPr>
          <w:b/>
          <w:bCs/>
          <w:sz w:val="22"/>
          <w:szCs w:val="22"/>
          <w:lang w:val="es-ES"/>
        </w:rPr>
      </w:pPr>
      <w:bookmarkStart w:id="2" w:name="_Annex_to_Draft_4"/>
      <w:bookmarkEnd w:id="2"/>
      <w:r w:rsidRPr="008552FC">
        <w:rPr>
          <w:b/>
          <w:bCs/>
          <w:sz w:val="22"/>
          <w:szCs w:val="22"/>
          <w:lang w:val="es-ES"/>
        </w:rPr>
        <w:br w:type="page"/>
      </w:r>
    </w:p>
    <w:p w14:paraId="48FC6890" w14:textId="77777777" w:rsidR="00581CFE" w:rsidRPr="008552FC" w:rsidRDefault="00581CFE" w:rsidP="00581CFE">
      <w:pPr>
        <w:spacing w:before="480"/>
        <w:jc w:val="center"/>
        <w:rPr>
          <w:b/>
          <w:bCs/>
          <w:sz w:val="22"/>
          <w:szCs w:val="22"/>
          <w:lang w:val="es-ES"/>
        </w:rPr>
      </w:pPr>
      <w:bookmarkStart w:id="3" w:name="AnexoDecisión"/>
      <w:bookmarkEnd w:id="3"/>
      <w:r w:rsidRPr="008552FC">
        <w:rPr>
          <w:b/>
          <w:bCs/>
          <w:sz w:val="22"/>
          <w:szCs w:val="22"/>
          <w:lang w:val="es-ES"/>
        </w:rPr>
        <w:lastRenderedPageBreak/>
        <w:t xml:space="preserve">Anexo al proyecto de Decisión </w:t>
      </w:r>
      <w:r w:rsidR="003A418D" w:rsidRPr="008552FC">
        <w:rPr>
          <w:b/>
          <w:bCs/>
          <w:sz w:val="22"/>
          <w:szCs w:val="22"/>
          <w:lang w:val="es-ES"/>
        </w:rPr>
        <w:t>10</w:t>
      </w:r>
      <w:r w:rsidRPr="008552FC">
        <w:rPr>
          <w:b/>
          <w:bCs/>
          <w:sz w:val="22"/>
          <w:szCs w:val="22"/>
          <w:lang w:val="es-ES"/>
        </w:rPr>
        <w:t>/1 (EC-76)</w:t>
      </w:r>
    </w:p>
    <w:p w14:paraId="48FC6891" w14:textId="77777777" w:rsidR="00581CFE" w:rsidRPr="008552FC" w:rsidRDefault="003A418D" w:rsidP="00581CFE">
      <w:pPr>
        <w:spacing w:before="240" w:after="360"/>
        <w:jc w:val="center"/>
        <w:rPr>
          <w:b/>
          <w:bCs/>
          <w:sz w:val="24"/>
          <w:szCs w:val="24"/>
          <w:lang w:val="es-ES"/>
        </w:rPr>
      </w:pPr>
      <w:r w:rsidRPr="008552FC">
        <w:rPr>
          <w:b/>
          <w:bCs/>
          <w:sz w:val="22"/>
          <w:szCs w:val="22"/>
          <w:lang w:val="es-ES"/>
        </w:rPr>
        <w:t xml:space="preserve">Lista preliminar de los puntos que se inscribirán en el orden del día </w:t>
      </w:r>
      <w:r w:rsidRPr="008552FC">
        <w:rPr>
          <w:b/>
          <w:bCs/>
          <w:sz w:val="22"/>
          <w:szCs w:val="22"/>
          <w:lang w:val="es-ES"/>
        </w:rPr>
        <w:br/>
        <w:t>de la 77ª reunión del Consejo Ejecutivo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5"/>
      </w:tblGrid>
      <w:tr w:rsidR="003A418D" w:rsidRPr="001B5662" w14:paraId="48FC6894" w14:textId="77777777" w:rsidTr="007A2036">
        <w:trPr>
          <w:tblHeader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48FC6892" w14:textId="009608BD" w:rsidR="003A418D" w:rsidRPr="008552FC" w:rsidRDefault="003A418D" w:rsidP="002D4363">
            <w:pPr>
              <w:pStyle w:val="WMOBodyText"/>
              <w:spacing w:before="80" w:after="80"/>
              <w:jc w:val="center"/>
              <w:rPr>
                <w:lang w:val="es-ES"/>
              </w:rPr>
            </w:pPr>
            <w:r w:rsidRPr="008552FC">
              <w:rPr>
                <w:lang w:val="es-ES"/>
              </w:rPr>
              <w:t xml:space="preserve">Puntos y subpuntos </w:t>
            </w:r>
            <w:r w:rsidR="002420F1" w:rsidRPr="008552FC">
              <w:rPr>
                <w:lang w:val="es-ES"/>
              </w:rPr>
              <w:br/>
            </w:r>
            <w:r w:rsidRPr="008552FC">
              <w:rPr>
                <w:lang w:val="es-ES"/>
              </w:rPr>
              <w:t>del orden del día</w:t>
            </w:r>
          </w:p>
        </w:tc>
        <w:tc>
          <w:tcPr>
            <w:tcW w:w="3219" w:type="pct"/>
            <w:shd w:val="clear" w:color="auto" w:fill="F2F2F2" w:themeFill="background1" w:themeFillShade="F2"/>
            <w:vAlign w:val="center"/>
          </w:tcPr>
          <w:p w14:paraId="48FC6893" w14:textId="77777777" w:rsidR="003A418D" w:rsidRPr="008552FC" w:rsidRDefault="003A418D" w:rsidP="002D4363">
            <w:pPr>
              <w:pStyle w:val="WMOBodyText"/>
              <w:spacing w:before="80" w:after="80"/>
              <w:jc w:val="center"/>
              <w:rPr>
                <w:lang w:val="es-ES"/>
              </w:rPr>
            </w:pPr>
            <w:r w:rsidRPr="008552FC">
              <w:rPr>
                <w:lang w:val="es-ES"/>
              </w:rPr>
              <w:t>77ª reunión del Consejo Ejecutivo (5 y 6 de junio de 2023)</w:t>
            </w:r>
          </w:p>
        </w:tc>
      </w:tr>
      <w:tr w:rsidR="003A418D" w:rsidRPr="001B5662" w14:paraId="48FC6897" w14:textId="77777777" w:rsidTr="007A2036">
        <w:tc>
          <w:tcPr>
            <w:tcW w:w="1781" w:type="pct"/>
            <w:vAlign w:val="center"/>
          </w:tcPr>
          <w:p w14:paraId="48FC6895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Aplicación de las decisiones del Congreso: cuestiones técnicas</w:t>
            </w:r>
          </w:p>
        </w:tc>
        <w:tc>
          <w:tcPr>
            <w:tcW w:w="3219" w:type="pct"/>
            <w:vAlign w:val="center"/>
          </w:tcPr>
          <w:p w14:paraId="48FC6896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Conforme a lo solicitado por el Decimonoveno Congreso</w:t>
            </w:r>
          </w:p>
        </w:tc>
      </w:tr>
      <w:tr w:rsidR="003A418D" w:rsidRPr="001B5662" w14:paraId="48FC689A" w14:textId="77777777" w:rsidTr="007A2036">
        <w:tc>
          <w:tcPr>
            <w:tcW w:w="1781" w:type="pct"/>
            <w:vAlign w:val="center"/>
          </w:tcPr>
          <w:p w14:paraId="48FC689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Premio de la Organización Meteorológica Internacional</w:t>
            </w:r>
          </w:p>
        </w:tc>
        <w:tc>
          <w:tcPr>
            <w:tcW w:w="3219" w:type="pct"/>
            <w:vAlign w:val="center"/>
          </w:tcPr>
          <w:p w14:paraId="48FC6899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Selección del ganador del 68º Premio de la Organización Meteorológica Internacional (OMI)</w:t>
            </w:r>
          </w:p>
        </w:tc>
      </w:tr>
      <w:tr w:rsidR="003A418D" w:rsidRPr="001B5662" w14:paraId="48FC689F" w14:textId="77777777" w:rsidTr="007A2036">
        <w:tc>
          <w:tcPr>
            <w:tcW w:w="1781" w:type="pct"/>
            <w:vAlign w:val="center"/>
          </w:tcPr>
          <w:p w14:paraId="48FC689B" w14:textId="333AD611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Cuestiones generales, jurídicas, reglamentarias y de política </w:t>
            </w:r>
          </w:p>
        </w:tc>
        <w:tc>
          <w:tcPr>
            <w:tcW w:w="3219" w:type="pct"/>
            <w:vAlign w:val="center"/>
          </w:tcPr>
          <w:p w14:paraId="48FC689C" w14:textId="1B5888F8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Enmiendas al </w:t>
            </w:r>
            <w:hyperlink r:id="rId16" w:anchor=".Y-CkDnbMKUk" w:history="1">
              <w:r w:rsidRPr="008552FC">
                <w:rPr>
                  <w:rStyle w:val="Hyperlink"/>
                  <w:i/>
                  <w:iCs/>
                  <w:lang w:val="es-ES"/>
                </w:rPr>
                <w:t>Reglam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>e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>nto del Consejo Ejecutivo</w:t>
              </w:r>
            </w:hyperlink>
            <w:r w:rsidRPr="008552FC">
              <w:rPr>
                <w:i/>
                <w:iCs/>
                <w:lang w:val="es-ES"/>
              </w:rPr>
              <w:t xml:space="preserve"> </w:t>
            </w:r>
            <w:r w:rsidR="00EF7EB4" w:rsidRPr="008552FC">
              <w:rPr>
                <w:i/>
                <w:iCs/>
                <w:lang w:val="es-ES"/>
              </w:rPr>
              <w:br/>
            </w:r>
            <w:r w:rsidRPr="008552FC">
              <w:rPr>
                <w:lang w:val="es-ES"/>
              </w:rPr>
              <w:t>(OMM-Nº 1256)</w:t>
            </w:r>
          </w:p>
          <w:p w14:paraId="48FC689D" w14:textId="51F54E7B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Enmiendas al </w:t>
            </w:r>
            <w:hyperlink r:id="rId17" w:anchor=".Y-CkHHbMKUk" w:history="1">
              <w:r w:rsidRPr="008552FC">
                <w:rPr>
                  <w:rStyle w:val="Hyperlink"/>
                  <w:i/>
                  <w:iCs/>
                  <w:lang w:val="es-ES"/>
                </w:rPr>
                <w:t>Reglamento de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 xml:space="preserve"> 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>las comisiones técnicas</w:t>
              </w:r>
            </w:hyperlink>
            <w:r w:rsidRPr="008552FC">
              <w:rPr>
                <w:i/>
                <w:iCs/>
                <w:lang w:val="es-ES"/>
              </w:rPr>
              <w:t xml:space="preserve"> </w:t>
            </w:r>
            <w:r w:rsidR="00C30A4D" w:rsidRPr="008552FC">
              <w:rPr>
                <w:i/>
                <w:iCs/>
                <w:lang w:val="es-ES"/>
              </w:rPr>
              <w:br/>
            </w:r>
            <w:r w:rsidRPr="008552FC">
              <w:rPr>
                <w:lang w:val="es-ES"/>
              </w:rPr>
              <w:t>(OMM-Nº 1240)</w:t>
            </w:r>
          </w:p>
          <w:p w14:paraId="48FC689E" w14:textId="77777777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Enmiendas al mandato del Comité de Auditoría y Supervisión</w:t>
            </w:r>
          </w:p>
        </w:tc>
      </w:tr>
      <w:tr w:rsidR="003A418D" w:rsidRPr="001B5662" w14:paraId="48FC68A2" w14:textId="77777777" w:rsidTr="007A2036">
        <w:tc>
          <w:tcPr>
            <w:tcW w:w="1781" w:type="pct"/>
            <w:vAlign w:val="center"/>
          </w:tcPr>
          <w:p w14:paraId="48FC68A0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Examen de los órganos subsidiarios y de la composición de los órganos que dependen del Consejo Ejecutivo</w:t>
            </w:r>
          </w:p>
        </w:tc>
        <w:tc>
          <w:tcPr>
            <w:tcW w:w="3219" w:type="pct"/>
            <w:vAlign w:val="center"/>
          </w:tcPr>
          <w:p w14:paraId="48FC68A1" w14:textId="41BC8DEE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lo dispuesto en el </w:t>
            </w:r>
            <w:hyperlink r:id="rId18" w:anchor="page=14" w:history="1">
              <w:r w:rsidRPr="008552FC">
                <w:rPr>
                  <w:rStyle w:val="Hyperlink"/>
                  <w:lang w:val="es-ES"/>
                </w:rPr>
                <w:t>párraf</w:t>
              </w:r>
              <w:r w:rsidRPr="008552FC">
                <w:rPr>
                  <w:rStyle w:val="Hyperlink"/>
                  <w:lang w:val="es-ES"/>
                </w:rPr>
                <w:t>o</w:t>
              </w:r>
              <w:r w:rsidRPr="008552FC">
                <w:rPr>
                  <w:rStyle w:val="Hyperlink"/>
                  <w:lang w:val="es-ES"/>
                </w:rPr>
                <w:t xml:space="preserve"> </w:t>
              </w:r>
              <w:r w:rsidR="00C8338E" w:rsidRPr="008552FC">
                <w:rPr>
                  <w:rStyle w:val="Hyperlink"/>
                  <w:lang w:val="es-ES"/>
                </w:rPr>
                <w:t>11.4</w:t>
              </w:r>
            </w:hyperlink>
            <w:r w:rsidRPr="008552FC">
              <w:rPr>
                <w:lang w:val="es-ES"/>
              </w:rPr>
              <w:t xml:space="preserve"> del </w:t>
            </w:r>
            <w:r w:rsidRPr="008552FC">
              <w:rPr>
                <w:i/>
                <w:iCs/>
                <w:lang w:val="es-ES"/>
              </w:rPr>
              <w:t xml:space="preserve">Reglamento del Consejo Ejecutivo </w:t>
            </w:r>
            <w:r w:rsidRPr="008552FC">
              <w:rPr>
                <w:lang w:val="es-ES"/>
              </w:rPr>
              <w:t>(OMM-Nº 1256)</w:t>
            </w:r>
          </w:p>
        </w:tc>
      </w:tr>
      <w:tr w:rsidR="003A418D" w:rsidRPr="008552FC" w14:paraId="48FC68A7" w14:textId="77777777" w:rsidTr="007A2036">
        <w:tc>
          <w:tcPr>
            <w:tcW w:w="1781" w:type="pct"/>
            <w:vAlign w:val="center"/>
          </w:tcPr>
          <w:p w14:paraId="48FC68A3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Finanzas</w:t>
            </w:r>
          </w:p>
        </w:tc>
        <w:tc>
          <w:tcPr>
            <w:tcW w:w="3219" w:type="pct"/>
            <w:vAlign w:val="center"/>
          </w:tcPr>
          <w:p w14:paraId="48FC68A4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Estimación del superávit de caja correspondiente al decimoctavo período financiero</w:t>
            </w:r>
          </w:p>
          <w:p w14:paraId="48FC68A5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Transferencias presupuestarias (solo en caso necesario)</w:t>
            </w:r>
          </w:p>
          <w:p w14:paraId="48FC68A6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Estados financieros de 2022</w:t>
            </w:r>
          </w:p>
        </w:tc>
      </w:tr>
      <w:tr w:rsidR="003A418D" w:rsidRPr="008552FC" w14:paraId="48FC68AB" w14:textId="77777777" w:rsidTr="007A2036">
        <w:tc>
          <w:tcPr>
            <w:tcW w:w="1781" w:type="pct"/>
            <w:vAlign w:val="center"/>
          </w:tcPr>
          <w:p w14:paraId="48FC68A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Presupuesto</w:t>
            </w:r>
          </w:p>
        </w:tc>
        <w:tc>
          <w:tcPr>
            <w:tcW w:w="3219" w:type="pct"/>
            <w:vAlign w:val="center"/>
          </w:tcPr>
          <w:p w14:paraId="48FC68A9" w14:textId="3F7B5498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la </w:t>
            </w:r>
            <w:hyperlink r:id="rId19" w:anchor="page=76" w:history="1">
              <w:r w:rsidRPr="008552FC">
                <w:rPr>
                  <w:rStyle w:val="Hyperlink"/>
                  <w:lang w:val="es-ES"/>
                </w:rPr>
                <w:t xml:space="preserve">regla </w:t>
              </w:r>
              <w:r w:rsidRPr="008552FC">
                <w:rPr>
                  <w:rStyle w:val="Hyperlink"/>
                  <w:lang w:val="es-ES"/>
                </w:rPr>
                <w:t>1</w:t>
              </w:r>
              <w:r w:rsidRPr="008552FC">
                <w:rPr>
                  <w:rStyle w:val="Hyperlink"/>
                  <w:lang w:val="es-ES"/>
                </w:rPr>
                <w:t>26</w:t>
              </w:r>
            </w:hyperlink>
            <w:r w:rsidRPr="008552FC">
              <w:rPr>
                <w:lang w:val="es-ES"/>
              </w:rPr>
              <w:t xml:space="preserve"> del Reglamento General </w:t>
            </w:r>
            <w:r w:rsidR="004401D2" w:rsidRPr="008552FC">
              <w:rPr>
                <w:lang w:val="es-ES"/>
              </w:rPr>
              <w:t>(</w:t>
            </w:r>
            <w:r w:rsidRPr="008552FC">
              <w:rPr>
                <w:i/>
                <w:iCs/>
                <w:lang w:val="es-ES"/>
              </w:rPr>
              <w:t>Documentos fundamentales Nº 1</w:t>
            </w:r>
            <w:r w:rsidRPr="008552FC">
              <w:rPr>
                <w:lang w:val="es-ES"/>
              </w:rPr>
              <w:t xml:space="preserve"> (OMM-Nº 15)</w:t>
            </w:r>
            <w:r w:rsidR="004401D2" w:rsidRPr="008552FC">
              <w:rPr>
                <w:lang w:val="es-ES"/>
              </w:rPr>
              <w:t>)</w:t>
            </w:r>
          </w:p>
          <w:p w14:paraId="48FC68AA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Presupuesto para el bienio 2024/2025</w:t>
            </w:r>
          </w:p>
        </w:tc>
      </w:tr>
      <w:tr w:rsidR="003A418D" w:rsidRPr="008552FC" w14:paraId="48FC68AF" w14:textId="77777777" w:rsidTr="007A2036">
        <w:tc>
          <w:tcPr>
            <w:tcW w:w="1781" w:type="pct"/>
            <w:vAlign w:val="center"/>
          </w:tcPr>
          <w:p w14:paraId="48FC68AC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Informes</w:t>
            </w:r>
          </w:p>
        </w:tc>
        <w:tc>
          <w:tcPr>
            <w:tcW w:w="3219" w:type="pct"/>
            <w:vAlign w:val="center"/>
          </w:tcPr>
          <w:p w14:paraId="48FC68AD" w14:textId="76FA1EB1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Informe de la 42ª reunión del </w:t>
            </w:r>
            <w:r w:rsidR="004401D2" w:rsidRPr="008552FC">
              <w:rPr>
                <w:lang w:val="es-ES"/>
              </w:rPr>
              <w:t>Comité Consultivo de Finanzas (</w:t>
            </w:r>
            <w:r w:rsidRPr="008552FC">
              <w:rPr>
                <w:lang w:val="es-ES"/>
              </w:rPr>
              <w:t>FINAC</w:t>
            </w:r>
            <w:r w:rsidR="004401D2" w:rsidRPr="008552FC">
              <w:rPr>
                <w:lang w:val="es-ES"/>
              </w:rPr>
              <w:t>)</w:t>
            </w:r>
          </w:p>
          <w:p w14:paraId="48FC68AE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 del auditor externo</w:t>
            </w:r>
          </w:p>
        </w:tc>
      </w:tr>
      <w:tr w:rsidR="003A418D" w:rsidRPr="001B5662" w14:paraId="48FC68B2" w14:textId="77777777" w:rsidTr="007A2036">
        <w:tc>
          <w:tcPr>
            <w:tcW w:w="1781" w:type="pct"/>
            <w:vAlign w:val="center"/>
          </w:tcPr>
          <w:p w14:paraId="48FC68B0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Auditor externo</w:t>
            </w:r>
          </w:p>
        </w:tc>
        <w:tc>
          <w:tcPr>
            <w:tcW w:w="3219" w:type="pct"/>
            <w:vAlign w:val="center"/>
          </w:tcPr>
          <w:p w14:paraId="48FC68B1" w14:textId="35EB746E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Selección del auditor externo para el período 2024-2027, de conformidad con </w:t>
            </w:r>
            <w:r w:rsidR="006606A6">
              <w:rPr>
                <w:lang w:val="es-ES"/>
              </w:rPr>
              <w:t>e</w:t>
            </w:r>
            <w:r w:rsidRPr="008552FC">
              <w:rPr>
                <w:lang w:val="es-ES"/>
              </w:rPr>
              <w:t>l</w:t>
            </w:r>
            <w:r w:rsidR="006606A6">
              <w:rPr>
                <w:lang w:val="es-ES"/>
              </w:rPr>
              <w:t xml:space="preserve"> proceso previsto en la sección 8</w:t>
            </w:r>
            <w:r w:rsidRPr="008552FC">
              <w:rPr>
                <w:lang w:val="es-ES"/>
              </w:rPr>
              <w:t xml:space="preserve"> del </w:t>
            </w:r>
            <w:hyperlink r:id="rId20" w:anchor=".Y-ClA3bMKUl" w:history="1">
              <w:r w:rsidRPr="008552FC">
                <w:rPr>
                  <w:rStyle w:val="Hyperlink"/>
                  <w:i/>
                  <w:iCs/>
                  <w:lang w:val="es-ES"/>
                </w:rPr>
                <w:t xml:space="preserve">Reglamento del 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>C</w:t>
              </w:r>
              <w:r w:rsidRPr="008552FC">
                <w:rPr>
                  <w:rStyle w:val="Hyperlink"/>
                  <w:i/>
                  <w:iCs/>
                  <w:lang w:val="es-ES"/>
                </w:rPr>
                <w:t>onsejo Ejecutivo</w:t>
              </w:r>
            </w:hyperlink>
            <w:r w:rsidRPr="008552FC">
              <w:rPr>
                <w:lang w:val="es-ES"/>
              </w:rPr>
              <w:t xml:space="preserve"> (OMM-Nº 1256)</w:t>
            </w:r>
          </w:p>
        </w:tc>
      </w:tr>
      <w:tr w:rsidR="003A418D" w:rsidRPr="001B5662" w14:paraId="48FC68B6" w14:textId="77777777" w:rsidTr="007A2036">
        <w:tc>
          <w:tcPr>
            <w:tcW w:w="1781" w:type="pct"/>
            <w:vAlign w:val="center"/>
          </w:tcPr>
          <w:p w14:paraId="48FC68B3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Supervisión</w:t>
            </w:r>
          </w:p>
        </w:tc>
        <w:tc>
          <w:tcPr>
            <w:tcW w:w="3219" w:type="pct"/>
            <w:vAlign w:val="center"/>
          </w:tcPr>
          <w:p w14:paraId="48FC68B4" w14:textId="464983ED" w:rsidR="003A418D" w:rsidRPr="008552FC" w:rsidRDefault="003A418D" w:rsidP="002D4363">
            <w:pPr>
              <w:pStyle w:val="WMOBodyText"/>
              <w:keepNext/>
              <w:keepLines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 xml:space="preserve">De conformidad con la </w:t>
            </w:r>
            <w:hyperlink r:id="rId21" w:anchor="page=76" w:history="1">
              <w:r w:rsidR="00291400" w:rsidRPr="008552FC">
                <w:rPr>
                  <w:rStyle w:val="Hyperlink"/>
                  <w:lang w:val="es-ES"/>
                </w:rPr>
                <w:t>regla 126</w:t>
              </w:r>
            </w:hyperlink>
            <w:r w:rsidRPr="008552FC">
              <w:rPr>
                <w:lang w:val="es-ES"/>
              </w:rPr>
              <w:t xml:space="preserve"> del Reglamento General (</w:t>
            </w:r>
            <w:r w:rsidRPr="008552FC">
              <w:rPr>
                <w:i/>
                <w:iCs/>
                <w:lang w:val="es-ES"/>
              </w:rPr>
              <w:t>Documentos fundamentales Nº 1</w:t>
            </w:r>
            <w:r w:rsidRPr="008552FC">
              <w:rPr>
                <w:lang w:val="es-ES"/>
              </w:rPr>
              <w:t xml:space="preserve"> (OMM-Nº 15))</w:t>
            </w:r>
          </w:p>
          <w:p w14:paraId="48FC68B5" w14:textId="77777777" w:rsidR="003A418D" w:rsidRPr="008552FC" w:rsidRDefault="003A418D" w:rsidP="00770775">
            <w:pPr>
              <w:pStyle w:val="WMOBodyText"/>
              <w:spacing w:before="80" w:after="80"/>
              <w:ind w:right="-144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Examen de los informes de la Oficina de Supervisión Interna (IOO), la Dependencia Común de Inspección (DCI), el Comité de Auditoría y Supervisión (AOC) y la Oficina de Ética</w:t>
            </w:r>
          </w:p>
        </w:tc>
      </w:tr>
      <w:tr w:rsidR="003A418D" w:rsidRPr="001B5662" w14:paraId="48FC68B9" w14:textId="77777777" w:rsidTr="007A2036">
        <w:tc>
          <w:tcPr>
            <w:tcW w:w="1781" w:type="pct"/>
            <w:vAlign w:val="center"/>
          </w:tcPr>
          <w:p w14:paraId="48FC68B7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Recursos humanos</w:t>
            </w:r>
          </w:p>
        </w:tc>
        <w:tc>
          <w:tcPr>
            <w:tcW w:w="3219" w:type="pct"/>
            <w:vAlign w:val="center"/>
          </w:tcPr>
          <w:p w14:paraId="48FC68B8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Informe sobre los recursos humanos</w:t>
            </w:r>
          </w:p>
        </w:tc>
      </w:tr>
      <w:tr w:rsidR="003A418D" w:rsidRPr="001B5662" w14:paraId="48FC68BD" w14:textId="77777777" w:rsidTr="007A2036">
        <w:tc>
          <w:tcPr>
            <w:tcW w:w="1781" w:type="pct"/>
            <w:vAlign w:val="center"/>
          </w:tcPr>
          <w:p w14:paraId="48FC68BA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Fecha y lugar de las próximas reuniones del Consejo Ejecutivo y programa de las reuniones de los órganos rectores</w:t>
            </w:r>
          </w:p>
        </w:tc>
        <w:tc>
          <w:tcPr>
            <w:tcW w:w="3219" w:type="pct"/>
            <w:vAlign w:val="center"/>
          </w:tcPr>
          <w:p w14:paraId="48FC68BB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Fecha y lugar de la 78ª reunión del Consejo Ejecutivo</w:t>
            </w:r>
          </w:p>
          <w:p w14:paraId="48FC68BC" w14:textId="77777777" w:rsidR="003A418D" w:rsidRPr="008552FC" w:rsidRDefault="003A418D" w:rsidP="002D4363">
            <w:pPr>
              <w:pStyle w:val="WMOBodyText"/>
              <w:spacing w:before="80" w:after="80"/>
              <w:jc w:val="left"/>
              <w:rPr>
                <w:lang w:val="es-ES"/>
              </w:rPr>
            </w:pPr>
            <w:r w:rsidRPr="008552FC">
              <w:rPr>
                <w:lang w:val="es-ES"/>
              </w:rPr>
              <w:t>Programa actualizado de las reuniones de los órganos integrantes y otros órganos</w:t>
            </w:r>
          </w:p>
        </w:tc>
      </w:tr>
    </w:tbl>
    <w:p w14:paraId="48FC68BE" w14:textId="050001F4" w:rsidR="00581CFE" w:rsidRPr="008552FC" w:rsidRDefault="00581CFE" w:rsidP="00520D41">
      <w:pPr>
        <w:spacing w:before="220"/>
        <w:jc w:val="center"/>
        <w:rPr>
          <w:lang w:val="es-ES"/>
        </w:rPr>
      </w:pPr>
      <w:bookmarkStart w:id="4" w:name="_Annex_2_to"/>
      <w:bookmarkEnd w:id="4"/>
      <w:r w:rsidRPr="008552FC">
        <w:rPr>
          <w:lang w:val="es-ES"/>
        </w:rPr>
        <w:t>___________</w:t>
      </w:r>
    </w:p>
    <w:sectPr w:rsidR="00581CFE" w:rsidRPr="008552FC" w:rsidSect="0020095E">
      <w:headerReference w:type="default" r:id="rId22"/>
      <w:headerReference w:type="first" r:id="rId2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C68C5" w14:textId="77777777" w:rsidR="00F22B68" w:rsidRDefault="00F22B68">
      <w:r>
        <w:separator/>
      </w:r>
    </w:p>
    <w:p w14:paraId="48FC68C6" w14:textId="77777777" w:rsidR="00F22B68" w:rsidRDefault="00F22B68"/>
    <w:p w14:paraId="48FC68C7" w14:textId="77777777" w:rsidR="00F22B68" w:rsidRDefault="00F22B68"/>
  </w:endnote>
  <w:endnote w:type="continuationSeparator" w:id="0">
    <w:p w14:paraId="48FC68C8" w14:textId="77777777" w:rsidR="00F22B68" w:rsidRDefault="00F22B68">
      <w:r>
        <w:continuationSeparator/>
      </w:r>
    </w:p>
    <w:p w14:paraId="48FC68C9" w14:textId="77777777" w:rsidR="00F22B68" w:rsidRDefault="00F22B68"/>
    <w:p w14:paraId="48FC68CA" w14:textId="77777777" w:rsidR="00F22B68" w:rsidRDefault="00F22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68C1" w14:textId="77777777" w:rsidR="00F22B68" w:rsidRDefault="00F22B68">
      <w:r>
        <w:separator/>
      </w:r>
    </w:p>
  </w:footnote>
  <w:footnote w:type="continuationSeparator" w:id="0">
    <w:p w14:paraId="48FC68C2" w14:textId="77777777" w:rsidR="00F22B68" w:rsidRDefault="00F22B68">
      <w:r>
        <w:continuationSeparator/>
      </w:r>
    </w:p>
    <w:p w14:paraId="48FC68C3" w14:textId="77777777" w:rsidR="00F22B68" w:rsidRDefault="00F22B68"/>
    <w:p w14:paraId="48FC68C4" w14:textId="77777777" w:rsidR="00F22B68" w:rsidRDefault="00F22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68CB" w14:textId="7777777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CE448E">
      <w:t>10</w:t>
    </w:r>
    <w:r w:rsidRPr="00C2459D">
      <w:t xml:space="preserve">, </w:t>
    </w:r>
    <w:r>
      <w:t>VERSIÓN 1</w:t>
    </w:r>
    <w:r w:rsidRPr="00C2459D">
      <w:t xml:space="preserve">, p. </w:t>
    </w:r>
    <w:r w:rsidR="00907465"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="00907465" w:rsidRPr="00C2459D">
      <w:rPr>
        <w:rStyle w:val="PageNumber"/>
      </w:rPr>
      <w:fldChar w:fldCharType="separate"/>
    </w:r>
    <w:r w:rsidR="00C30A4D">
      <w:rPr>
        <w:rStyle w:val="PageNumber"/>
        <w:noProof/>
      </w:rPr>
      <w:t>3</w:t>
    </w:r>
    <w:r w:rsidR="00907465"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68CC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27"/>
  </w:num>
  <w:num w:numId="4">
    <w:abstractNumId w:val="36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5"/>
  </w:num>
  <w:num w:numId="12">
    <w:abstractNumId w:val="11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4"/>
  </w:num>
  <w:num w:numId="32">
    <w:abstractNumId w:val="39"/>
  </w:num>
  <w:num w:numId="33">
    <w:abstractNumId w:val="37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1"/>
  </w:num>
  <w:num w:numId="43">
    <w:abstractNumId w:val="16"/>
  </w:num>
  <w:num w:numId="44">
    <w:abstractNumId w:val="2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18D"/>
    <w:rsid w:val="00001E4F"/>
    <w:rsid w:val="000206A8"/>
    <w:rsid w:val="0003137A"/>
    <w:rsid w:val="00041171"/>
    <w:rsid w:val="00041727"/>
    <w:rsid w:val="0004226F"/>
    <w:rsid w:val="00050F8E"/>
    <w:rsid w:val="000571D0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B0A5F"/>
    <w:rsid w:val="000B2190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62"/>
    <w:rsid w:val="001B56F4"/>
    <w:rsid w:val="001C5462"/>
    <w:rsid w:val="001D265C"/>
    <w:rsid w:val="001D3062"/>
    <w:rsid w:val="001D3CFB"/>
    <w:rsid w:val="001D559B"/>
    <w:rsid w:val="001D6302"/>
    <w:rsid w:val="001E740C"/>
    <w:rsid w:val="001E75E9"/>
    <w:rsid w:val="001E7DD0"/>
    <w:rsid w:val="001F1BDA"/>
    <w:rsid w:val="0020095E"/>
    <w:rsid w:val="00210D30"/>
    <w:rsid w:val="002204FD"/>
    <w:rsid w:val="002308B5"/>
    <w:rsid w:val="00234A34"/>
    <w:rsid w:val="0024027B"/>
    <w:rsid w:val="002420F1"/>
    <w:rsid w:val="0025255D"/>
    <w:rsid w:val="00255EE3"/>
    <w:rsid w:val="00266262"/>
    <w:rsid w:val="00270480"/>
    <w:rsid w:val="002779AF"/>
    <w:rsid w:val="002823D8"/>
    <w:rsid w:val="0028531A"/>
    <w:rsid w:val="00285446"/>
    <w:rsid w:val="00291400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44FE4"/>
    <w:rsid w:val="00371CF1"/>
    <w:rsid w:val="003750C1"/>
    <w:rsid w:val="00380AF7"/>
    <w:rsid w:val="00383F53"/>
    <w:rsid w:val="00394A05"/>
    <w:rsid w:val="00394B7D"/>
    <w:rsid w:val="00397770"/>
    <w:rsid w:val="00397880"/>
    <w:rsid w:val="003A3C12"/>
    <w:rsid w:val="003A418D"/>
    <w:rsid w:val="003A7016"/>
    <w:rsid w:val="003C17A5"/>
    <w:rsid w:val="003C5AB0"/>
    <w:rsid w:val="003C5F1E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36209"/>
    <w:rsid w:val="004401D2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0D41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28C2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57D72"/>
    <w:rsid w:val="006606A6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D6C6D"/>
    <w:rsid w:val="006E766D"/>
    <w:rsid w:val="006F12B5"/>
    <w:rsid w:val="006F49A5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0775"/>
    <w:rsid w:val="00771A68"/>
    <w:rsid w:val="007744D2"/>
    <w:rsid w:val="00786136"/>
    <w:rsid w:val="007A2036"/>
    <w:rsid w:val="007A7971"/>
    <w:rsid w:val="007C212A"/>
    <w:rsid w:val="007D2C5C"/>
    <w:rsid w:val="007E7D21"/>
    <w:rsid w:val="007F482F"/>
    <w:rsid w:val="007F7C94"/>
    <w:rsid w:val="00800F85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552FC"/>
    <w:rsid w:val="0086271D"/>
    <w:rsid w:val="0086420B"/>
    <w:rsid w:val="00864DBF"/>
    <w:rsid w:val="00865AE2"/>
    <w:rsid w:val="0089601F"/>
    <w:rsid w:val="008A24DA"/>
    <w:rsid w:val="008A7313"/>
    <w:rsid w:val="008A7D91"/>
    <w:rsid w:val="008B7FC7"/>
    <w:rsid w:val="008C4337"/>
    <w:rsid w:val="008C4F06"/>
    <w:rsid w:val="008D1CD8"/>
    <w:rsid w:val="008E1E4A"/>
    <w:rsid w:val="008F0615"/>
    <w:rsid w:val="008F103E"/>
    <w:rsid w:val="008F1FDB"/>
    <w:rsid w:val="008F36FB"/>
    <w:rsid w:val="0090427F"/>
    <w:rsid w:val="00907465"/>
    <w:rsid w:val="0091175E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95CA5"/>
    <w:rsid w:val="009A288C"/>
    <w:rsid w:val="009A2EC3"/>
    <w:rsid w:val="009A64C1"/>
    <w:rsid w:val="009B6697"/>
    <w:rsid w:val="009C2EA4"/>
    <w:rsid w:val="009C309B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2DE4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0A4D"/>
    <w:rsid w:val="00C316F1"/>
    <w:rsid w:val="00C4056B"/>
    <w:rsid w:val="00C42C95"/>
    <w:rsid w:val="00C4470F"/>
    <w:rsid w:val="00C55E5B"/>
    <w:rsid w:val="00C57D64"/>
    <w:rsid w:val="00C62739"/>
    <w:rsid w:val="00C71A65"/>
    <w:rsid w:val="00C720A4"/>
    <w:rsid w:val="00C7611C"/>
    <w:rsid w:val="00C8338E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D7F6C"/>
    <w:rsid w:val="00CE169F"/>
    <w:rsid w:val="00CE448E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75F71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737B4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303E"/>
    <w:rsid w:val="00EF66D9"/>
    <w:rsid w:val="00EF68E3"/>
    <w:rsid w:val="00EF6BA5"/>
    <w:rsid w:val="00EF780D"/>
    <w:rsid w:val="00EF7A98"/>
    <w:rsid w:val="00EF7EB4"/>
    <w:rsid w:val="00F0267E"/>
    <w:rsid w:val="00F11B47"/>
    <w:rsid w:val="00F22B68"/>
    <w:rsid w:val="00F25D8D"/>
    <w:rsid w:val="00F44CCB"/>
    <w:rsid w:val="00F474C9"/>
    <w:rsid w:val="00F5126B"/>
    <w:rsid w:val="00F54EA3"/>
    <w:rsid w:val="00F5693C"/>
    <w:rsid w:val="00F61675"/>
    <w:rsid w:val="00F65D88"/>
    <w:rsid w:val="00F6686B"/>
    <w:rsid w:val="00F67F74"/>
    <w:rsid w:val="00F712B3"/>
    <w:rsid w:val="00F73DE3"/>
    <w:rsid w:val="00F744BF"/>
    <w:rsid w:val="00F77219"/>
    <w:rsid w:val="00F84DD2"/>
    <w:rsid w:val="00F92B1E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,"/>
  <w14:docId w14:val="48FC6869"/>
  <w15:docId w15:val="{50A6D57C-5F6D-4664-9C5F-A985CFB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character" w:styleId="UnresolvedMention">
    <w:name w:val="Unresolved Mention"/>
    <w:basedOn w:val="DefaultParagraphFont"/>
    <w:uiPriority w:val="99"/>
    <w:semiHidden/>
    <w:unhideWhenUsed/>
    <w:rsid w:val="00AD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" TargetMode="External"/><Relationship Id="rId18" Type="http://schemas.openxmlformats.org/officeDocument/2006/relationships/hyperlink" Target="https://library.wmo.int/doc_num.php?explnum_id=112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doc_num.php?explnum_id=1118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Relationship Id="rId17" Type="http://schemas.openxmlformats.org/officeDocument/2006/relationships/hyperlink" Target="https://library.wmo.int/index.php?lvl=notice_display&amp;id=215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index.php?lvl=notice_display&amp;id=21829" TargetMode="External"/><Relationship Id="rId20" Type="http://schemas.openxmlformats.org/officeDocument/2006/relationships/hyperlink" Target="https://library.wmo.int/index.php?lvl=notice_display&amp;id=218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8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8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189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\Downloads\EC-76-dxx-Template_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2074-D6A6-4D40-BFD7-242D748158AF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4C997-AFE9-4FD5-8B67-4DD00902483D}">
  <ds:schemaRefs>
    <ds:schemaRef ds:uri="http://www.w3.org/XML/1998/namespace"/>
    <ds:schemaRef ds:uri="http://schemas.microsoft.com/office/2006/documentManagement/types"/>
    <ds:schemaRef ds:uri="3679bf0f-1d7e-438f-afa5-6ebf1e20f9b8"/>
    <ds:schemaRef ds:uri="http://purl.org/dc/terms/"/>
    <ds:schemaRef ds:uri="http://purl.org/dc/elements/1.1/"/>
    <ds:schemaRef ds:uri="http://schemas.openxmlformats.org/package/2006/metadata/core-properties"/>
    <ds:schemaRef ds:uri="ce21bc6c-711a-4065-a01c-a8f0e29e3ad8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5C2EED-D12F-4FE1-B45D-07D301C0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(1).dotx</Template>
  <TotalTime>59</TotalTime>
  <Pages>3</Pages>
  <Words>972</Words>
  <Characters>5284</Characters>
  <Application>Microsoft Office Word</Application>
  <DocSecurity>0</DocSecurity>
  <Lines>170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6165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Eduard Rico</dc:creator>
  <cp:lastModifiedBy>Elena Vicente</cp:lastModifiedBy>
  <cp:revision>42</cp:revision>
  <cp:lastPrinted>2013-03-12T09:27:00Z</cp:lastPrinted>
  <dcterms:created xsi:type="dcterms:W3CDTF">2023-02-05T21:15:00Z</dcterms:created>
  <dcterms:modified xsi:type="dcterms:W3CDTF">2023-02-06T07:59:00Z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